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«Про ефективне використання державних коштів»)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з особливостями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Назва закупівлі: </w:t>
      </w:r>
      <w:r>
        <w:rPr>
          <w:rStyle w:val="Strong"/>
          <w:b w:val="false"/>
          <w:bCs w:val="false"/>
          <w:sz w:val="22"/>
          <w:szCs w:val="22"/>
          <w:lang w:val="uk-UA" w:eastAsia="uk-UA" w:bidi="ar-SA"/>
        </w:rPr>
        <w:t xml:space="preserve">Послуги з благоустрою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uk-UA" w:eastAsia="uk-UA" w:bidi="ar-SA"/>
        </w:rPr>
        <w:t>(</w:t>
      </w:r>
      <w:r>
        <w:rPr>
          <w:rStyle w:val="Strong"/>
          <w:rFonts w:cs="Times New Roman"/>
          <w:b w:val="false"/>
          <w:bCs w:val="false"/>
          <w:sz w:val="24"/>
          <w:szCs w:val="24"/>
          <w:lang w:val="uk-UA" w:eastAsia="uk-UA" w:bidi="ar-SA"/>
        </w:rPr>
        <w:t xml:space="preserve">Поточний ремонт та облаштування автобусних зупинок та лавок у м.Прилуки). 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uk-UA" w:eastAsia="zh-CN" w:bidi="ar-SA"/>
        </w:rPr>
        <w:t xml:space="preserve">(ДК 021:2015 — 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en-US" w:eastAsia="zh-CN" w:bidi="ar-SA"/>
        </w:rPr>
        <w:t>45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uk-UA" w:eastAsia="zh-CN" w:bidi="ar-SA"/>
        </w:rPr>
        <w:t>210000-2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en-US" w:eastAsia="zh-CN" w:bidi="ar-SA"/>
        </w:rPr>
        <w:t xml:space="preserve"> – 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uk-UA" w:eastAsia="zh-CN" w:bidi="ar-SA"/>
        </w:rPr>
        <w:t>Будівництво будівель)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UA-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2024-04-26-000509-а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b w:val="false"/>
          <w:bCs w:val="false"/>
          <w:sz w:val="22"/>
          <w:szCs w:val="22"/>
        </w:rPr>
        <w:t>200</w:t>
      </w:r>
      <w:r>
        <w:rPr>
          <w:rStyle w:val="Style14"/>
          <w:rFonts w:eastAsia="Times New Roman" w:cs="Times New Roman"/>
          <w:b w:val="false"/>
          <w:bCs w:val="false"/>
          <w:i/>
          <w:iCs/>
          <w:color w:val="000000"/>
          <w:kern w:val="0"/>
          <w:sz w:val="22"/>
          <w:szCs w:val="22"/>
          <w:shd w:fill="FFFFFF" w:val="clear"/>
          <w:lang w:val="en-US" w:eastAsia="ar-SA" w:bidi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FFFFFF" w:val="clear"/>
          <w:lang w:val="en-US" w:eastAsia="ar-SA" w:bidi="ar-SA"/>
        </w:rPr>
        <w:t>000</w:t>
      </w:r>
      <w:r>
        <w:rPr>
          <w:rStyle w:val="Style14"/>
          <w:rFonts w:cs="Times New Roman"/>
          <w:b w:val="false"/>
          <w:bCs w:val="false"/>
          <w:iCs/>
          <w:color w:val="000000"/>
          <w:sz w:val="22"/>
          <w:szCs w:val="22"/>
          <w:shd w:fill="FFFFFF" w:val="clear"/>
          <w:lang w:val="uk-UA" w:eastAsia="ru-RU"/>
        </w:rPr>
        <w:t xml:space="preserve">, 00 </w:t>
      </w:r>
      <w:r>
        <w:rPr>
          <w:rStyle w:val="Style14"/>
          <w:rFonts w:cs="Times New Roman"/>
          <w:b w:val="false"/>
          <w:bCs w:val="false"/>
          <w:color w:val="000000"/>
          <w:sz w:val="22"/>
          <w:szCs w:val="22"/>
          <w:shd w:fill="FFFFFF" w:val="clear"/>
          <w:lang w:val="uk-UA" w:eastAsia="ru-RU"/>
        </w:rPr>
        <w:t>грн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Обгрунтування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бюджет</w:t>
      </w:r>
      <w:r>
        <w:rPr>
          <w:sz w:val="22"/>
          <w:szCs w:val="22"/>
          <w:lang w:val="uk-UA"/>
        </w:rPr>
        <w:t>у</w:t>
      </w:r>
      <w:r>
        <w:rPr>
          <w:sz w:val="22"/>
          <w:szCs w:val="22"/>
        </w:rPr>
        <w:t xml:space="preserve"> Прилуцької міської територіальної громади на 202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4</w:t>
      </w:r>
      <w:r>
        <w:rPr>
          <w:sz w:val="22"/>
          <w:szCs w:val="22"/>
        </w:rPr>
        <w:t xml:space="preserve"> рік.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Обгрунтування  технічних та якісних характеристик предмета закупівлі:</w:t>
      </w:r>
      <w:r>
        <w:rPr>
          <w:b/>
          <w:color w:val="auto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Cs/>
          <w:color w:val="auto"/>
          <w:kern w:val="2"/>
          <w:position w:val="0"/>
          <w:sz w:val="22"/>
          <w:sz w:val="22"/>
          <w:szCs w:val="22"/>
          <w:u w:val="none"/>
          <w:vertAlign w:val="baseline"/>
          <w:lang w:val="uk-UA" w:eastAsia="ru-RU" w:bidi="ar-SA"/>
        </w:rPr>
        <w:tab/>
      </w:r>
      <w:r>
        <w:rPr>
          <w:rStyle w:val="Style14"/>
          <w:rFonts w:eastAsia="Times New Roman" w:cs="Times New Roman"/>
          <w:b/>
          <w:bCs/>
          <w:iCs/>
          <w:color w:val="auto"/>
          <w:kern w:val="2"/>
          <w:position w:val="0"/>
          <w:sz w:val="22"/>
          <w:sz w:val="22"/>
          <w:szCs w:val="22"/>
          <w:u w:val="none"/>
          <w:vertAlign w:val="baseline"/>
          <w:lang w:val="en-US" w:eastAsia="ru-RU" w:bidi="ar-SA"/>
        </w:rPr>
        <w:t>1.</w:t>
      </w:r>
      <w:r>
        <w:rPr>
          <w:rStyle w:val="Style14"/>
          <w:rFonts w:eastAsia="Times New Roman" w:cs="Times New Roman"/>
          <w:b/>
          <w:bCs/>
          <w:iCs/>
          <w:color w:val="auto"/>
          <w:kern w:val="2"/>
          <w:position w:val="0"/>
          <w:sz w:val="22"/>
          <w:sz w:val="22"/>
          <w:szCs w:val="22"/>
          <w:u w:val="none"/>
          <w:vertAlign w:val="baseline"/>
          <w:lang w:val="uk-UA" w:eastAsia="ru-RU" w:bidi="ar-SA"/>
        </w:rPr>
        <w:t>1.</w:t>
      </w:r>
      <w:r>
        <w:rPr>
          <w:sz w:val="22"/>
          <w:szCs w:val="22"/>
        </w:rPr>
        <w:t>Терміни надання послуг: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en-US" w:eastAsia="zxx" w:bidi="zxx"/>
        </w:rPr>
        <w:t>д</w:t>
      </w:r>
      <w:r>
        <w:rPr>
          <w:sz w:val="22"/>
          <w:szCs w:val="22"/>
          <w:lang w:val="uk-UA" w:eastAsia="zxx" w:bidi="zxx"/>
        </w:rPr>
        <w:t xml:space="preserve">о </w:t>
      </w:r>
      <w:r>
        <w:rPr>
          <w:rFonts w:eastAsia="Times New Roman" w:cs="Calibri"/>
          <w:color w:val="auto"/>
          <w:sz w:val="22"/>
          <w:szCs w:val="22"/>
          <w:lang w:val="uk-UA" w:eastAsia="zxx" w:bidi="zxx"/>
        </w:rPr>
        <w:t>1</w:t>
      </w:r>
      <w:r>
        <w:rPr>
          <w:rFonts w:eastAsia="Times New Roman" w:cs="Calibri"/>
          <w:color w:val="auto"/>
          <w:sz w:val="22"/>
          <w:szCs w:val="22"/>
          <w:lang w:val="uk-UA" w:eastAsia="zxx" w:bidi="zxx"/>
        </w:rPr>
        <w:t>5</w:t>
      </w:r>
      <w:r>
        <w:rPr>
          <w:rFonts w:eastAsia="Times New Roman" w:cs="Calibri"/>
          <w:color w:val="auto"/>
          <w:sz w:val="22"/>
          <w:szCs w:val="22"/>
          <w:lang w:val="uk-UA" w:eastAsia="zxx" w:bidi="zxx"/>
        </w:rPr>
        <w:t xml:space="preserve"> вересня</w:t>
      </w:r>
      <w:r>
        <w:rPr>
          <w:sz w:val="22"/>
          <w:szCs w:val="22"/>
          <w:lang w:val="uk-UA"/>
        </w:rPr>
        <w:t xml:space="preserve"> 202</w:t>
      </w:r>
      <w:r>
        <w:rPr>
          <w:sz w:val="22"/>
          <w:szCs w:val="22"/>
          <w:lang w:val="uk-UA" w:eastAsia="zxx" w:bidi="zxx"/>
        </w:rPr>
        <w:t>4</w:t>
      </w:r>
      <w:r>
        <w:rPr>
          <w:sz w:val="22"/>
          <w:szCs w:val="22"/>
          <w:lang w:val="uk-UA"/>
        </w:rPr>
        <w:t xml:space="preserve"> року.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ab/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При наданні послуг з поточного ремонту та облаштування автобусних зупинок та лавок у м.Прилуки Виконавець повинен виконати наступний об'єм робіт: </w:t>
      </w:r>
    </w:p>
    <w:p>
      <w:pPr>
        <w:pStyle w:val="Normal"/>
        <w:jc w:val="both"/>
        <w:rPr/>
      </w:pPr>
      <w:r>
        <w:rPr/>
      </w:r>
    </w:p>
    <w:tbl>
      <w:tblPr>
        <w:tblW w:w="967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9"/>
        <w:gridCol w:w="6465"/>
        <w:gridCol w:w="1352"/>
        <w:gridCol w:w="1258"/>
      </w:tblGrid>
      <w:tr>
        <w:trPr/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№</w:t>
            </w:r>
            <w:r>
              <w:rPr>
                <w:rFonts w:cs="Times New Roman"/>
              </w:rPr>
              <w:t xml:space="preserve"> </w:t>
            </w:r>
            <w:r>
              <w:rPr/>
              <w:t>ч/ч</w:t>
            </w:r>
          </w:p>
        </w:tc>
        <w:tc>
          <w:tcPr>
            <w:tcW w:w="6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Найменування робіт і витрат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Одиниця виміру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Кількість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Ремонт автобусних зупинок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Демонтаж  автобусних зупинок вагою до 0,5 т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шт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2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2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Монтаж металоконструкцій вагою до 0,5 т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шт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2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3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Електродугове зварювання при монтажі металоконструкцій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т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0,3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4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Копання ям вручну глибиною до 1,5 м під будівельні конструкції, група ґрунту 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center"/>
              <w:rPr/>
            </w:pPr>
            <w:r>
              <w:rPr/>
            </w:r>
          </w:p>
          <w:p>
            <w:pPr>
              <w:pStyle w:val="Style37"/>
              <w:jc w:val="center"/>
              <w:rPr/>
            </w:pPr>
            <w:r>
              <w:rPr/>
              <w:t>м3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  <w:p>
            <w:pPr>
              <w:pStyle w:val="Style37"/>
              <w:jc w:val="both"/>
              <w:rPr/>
            </w:pPr>
            <w:r>
              <w:rPr/>
              <w:t>8,4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5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Засипання вручну траншей, пазух котлованів та ям, група ґрунту 2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center"/>
              <w:rPr/>
            </w:pPr>
            <w:r>
              <w:rPr/>
            </w:r>
          </w:p>
          <w:p>
            <w:pPr>
              <w:pStyle w:val="Style37"/>
              <w:jc w:val="center"/>
              <w:rPr/>
            </w:pPr>
            <w:r>
              <w:rPr/>
              <w:t>м3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  <w:p>
            <w:pPr>
              <w:pStyle w:val="Style37"/>
              <w:jc w:val="both"/>
              <w:rPr/>
            </w:pPr>
            <w:r>
              <w:rPr/>
              <w:t>5,6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6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Улаштування бетонних фундаментів об'ємом до 5 м3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м3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0,84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7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Готування бетону на щебені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м3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0,8568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8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Установлення закладних деталей вагою понад 5 кг до 10 кг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т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0,846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9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Розбирання покриттів покрівлі з хвилястих азбестоцементних листів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center"/>
              <w:rPr/>
            </w:pPr>
            <w:r>
              <w:rPr/>
            </w:r>
          </w:p>
          <w:p>
            <w:pPr>
              <w:pStyle w:val="Style37"/>
              <w:jc w:val="center"/>
              <w:rPr/>
            </w:pPr>
            <w:r>
              <w:rPr/>
              <w:t>м2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  <w:p>
            <w:pPr>
              <w:pStyle w:val="Style37"/>
              <w:jc w:val="both"/>
              <w:rPr/>
            </w:pPr>
            <w:r>
              <w:rPr/>
              <w:t>15,75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10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Улаштування покриття з профнастилу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15,75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11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Заміна окремих елементів дерев'яної ферми із дощок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34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12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Обшивання каркасних стін дошками обшивки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80,2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13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Поліпшене фарбування автобусних зупинок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95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14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Ремонт дерев'яного настилу лав автобусних зупинок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лава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12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15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Фарбування лав автобусних зупинок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17,23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Ремонт лавок у парковій зоні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16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Ремонт дерев'яного настилу лав в парковій зоні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лава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23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17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Фарбування лав в парковій зоні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м2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34,45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18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Перевезення матеріалів транспортом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година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5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ab/>
      </w:r>
      <w:r>
        <w:rPr>
          <w:rFonts w:eastAsia="Times New Roman" w:cs="Times New Roman"/>
          <w:color w:val="auto"/>
          <w:sz w:val="24"/>
          <w:szCs w:val="24"/>
          <w:u w:val="single"/>
          <w:lang w:val="uk-UA" w:eastAsia="zh-CN" w:bidi="ar-SA"/>
        </w:rPr>
        <w:t>Виконання зазначених об'ємів робіт при наданні послуги з поточного ремонту автобусних зупинок та лавок здійснюється Виконавцем з використанням якісного та нового матеріалу.</w:t>
      </w:r>
    </w:p>
    <w:p>
      <w:pPr>
        <w:pStyle w:val="Normal"/>
        <w:jc w:val="both"/>
        <w:rPr/>
      </w:pPr>
      <w:r>
        <w:rPr>
          <w:rFonts w:eastAsia="Times New Roman CYR" w:cs="Times New Roman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uk-UA" w:eastAsia="zh-CN" w:bidi="ar-SA"/>
        </w:rPr>
        <w:tab/>
        <w:t>Виконавець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uk-UA" w:eastAsia="zh-CN" w:bidi="ar-SA"/>
        </w:rPr>
        <w:t xml:space="preserve"> повинен використовувати обладнання та матеріали, які не спричиняють шкоди довкіллю,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 (надати довідку в довільній формі).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uk-UA" w:eastAsia="zh-CN" w:bidi="ar-SA"/>
        </w:rPr>
        <w:tab/>
        <w:t>Перелік місць виконання зазначеного об'єму робіт вказуються Замовником.</w:t>
      </w:r>
    </w:p>
    <w:p>
      <w:pPr>
        <w:pStyle w:val="Normal"/>
        <w:ind w:firstLine="567" w:right="0"/>
        <w:jc w:val="both"/>
        <w:rPr/>
      </w:pPr>
      <w:r>
        <w:rPr>
          <w:rFonts w:cs="Times New Roman"/>
          <w:sz w:val="22"/>
          <w:szCs w:val="22"/>
          <w:lang w:val="uk-UA"/>
        </w:rPr>
        <w:t xml:space="preserve">В процесі виконання зазначений обсяг  може уточнюватися (коригуватися) Замовником у межах вартості </w:t>
      </w:r>
      <w:r>
        <w:rPr>
          <w:rFonts w:eastAsia="Times New Roman" w:cs="Times New Roman"/>
          <w:color w:val="auto"/>
          <w:sz w:val="22"/>
          <w:szCs w:val="22"/>
          <w:lang w:val="uk-UA" w:eastAsia="zh-CN" w:bidi="ar-SA"/>
        </w:rPr>
        <w:t>укладеного договору</w:t>
      </w:r>
      <w:r>
        <w:rPr>
          <w:rFonts w:cs="Times New Roman"/>
          <w:sz w:val="22"/>
          <w:szCs w:val="22"/>
          <w:lang w:val="uk-UA"/>
        </w:rPr>
        <w:t>.</w:t>
      </w:r>
    </w:p>
    <w:p>
      <w:pPr>
        <w:pStyle w:val="Normal"/>
        <w:ind w:firstLine="567" w:right="0"/>
        <w:jc w:val="both"/>
        <w:rPr/>
      </w:pPr>
      <w:r>
        <w:rPr>
          <w:rFonts w:cs="Times New Roman"/>
          <w:sz w:val="22"/>
          <w:szCs w:val="22"/>
          <w:lang w:val="uk-UA"/>
        </w:rPr>
        <w:t>Виконавець несе відповідальність за своєчасне проведення комплексу робіт по об'єктах в терміни установлені договором.</w:t>
      </w:r>
    </w:p>
    <w:p>
      <w:pPr>
        <w:pStyle w:val="Normal"/>
        <w:ind w:firstLine="567" w:right="0"/>
        <w:jc w:val="both"/>
        <w:rPr>
          <w:rFonts w:eastAsia="Times New Roman CYR" w:cs="Times New Roman"/>
          <w:color w:val="000000"/>
          <w:sz w:val="22"/>
          <w:szCs w:val="22"/>
          <w:lang w:val="uk-UA"/>
        </w:rPr>
      </w:pPr>
      <w:r>
        <w:rPr>
          <w:rFonts w:eastAsia="Times New Roman CYR" w:cs="Times New Roman"/>
          <w:color w:val="000000"/>
          <w:sz w:val="22"/>
          <w:szCs w:val="22"/>
          <w:lang w:val="uk-UA"/>
        </w:rPr>
        <w:t>Відповідальність за якість та своєчасне надання послуг несе Виконавець послуг відповідно законодавства.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u w:val="none"/>
          <w:lang w:bidi="ar-SA"/>
        </w:rPr>
        <w:tab/>
        <w:t xml:space="preserve">У разі необхідності, місце виконання робіт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u w:val="none"/>
          <w:lang w:eastAsia="zh-CN" w:bidi="ar-SA"/>
        </w:rPr>
        <w:t>Виконавець</w:t>
      </w:r>
      <w:r>
        <w:rPr>
          <w:rFonts w:eastAsia="Times New Roman" w:cs="Times New Roman"/>
          <w:b w:val="false"/>
          <w:bCs w:val="false"/>
          <w:i w:val="false"/>
          <w:iCs w:val="false"/>
          <w:u w:val="none"/>
          <w:lang w:bidi="ar-SA"/>
        </w:rPr>
        <w:t xml:space="preserve"> повинен облаштувати сигнальною стрічкою та попереджувальними знаками</w:t>
      </w:r>
      <w:r>
        <w:rPr>
          <w:rFonts w:eastAsia="Times New Roman" w:cs="Times New Roman"/>
          <w:b/>
          <w:bCs/>
          <w:i w:val="false"/>
          <w:iCs w:val="false"/>
          <w:u w:val="none"/>
          <w:lang w:bidi="ar-SA"/>
        </w:rPr>
        <w:t>.</w:t>
      </w:r>
    </w:p>
    <w:p>
      <w:pPr>
        <w:pStyle w:val="13"/>
        <w:ind w:firstLine="426" w:right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Ціну пропозиції слід визначати відповідно до вимог технічного завдання щодо термінів закінчення надання робіт/послуг, технології надання робіт/послуг, з дотриманням діючих норм і правил експлуатації техніки і безпечних умов праці. </w:t>
      </w:r>
    </w:p>
    <w:p>
      <w:pPr>
        <w:pStyle w:val="13"/>
        <w:ind w:firstLine="426" w:righ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Вартість пропозиції та всі інші ціни повинні бути чітко визначені. </w:t>
      </w:r>
    </w:p>
    <w:p>
      <w:pPr>
        <w:pStyle w:val="13"/>
        <w:spacing w:lineRule="exact" w:line="227"/>
        <w:ind w:firstLine="426" w:right="0"/>
        <w:jc w:val="both"/>
        <w:rPr/>
      </w:pPr>
      <w:r>
        <w:rPr>
          <w:rStyle w:val="31"/>
          <w:rFonts w:eastAsia="Times New Roman" w:cs="Times New Roman"/>
          <w:b w:val="false"/>
          <w:bCs w:val="false"/>
          <w:iCs/>
          <w:color w:val="000000"/>
          <w:kern w:val="2"/>
          <w:sz w:val="22"/>
          <w:szCs w:val="22"/>
          <w:shd w:fill="FFFFFF" w:val="clear"/>
          <w:lang w:val="uk-UA" w:eastAsia="zh-CN" w:bidi="ar-SA"/>
        </w:rPr>
        <w:tab/>
        <w:t>Пропозиція учасника, в ціну якої включені будь-які витрати, понесені ним у процесі здійснення процедури закупівлі та укладання договору про закупівлю, відхиляється замовником.</w:t>
      </w:r>
    </w:p>
    <w:p>
      <w:pPr>
        <w:pStyle w:val="14"/>
        <w:widowControl w:val="false"/>
        <w:spacing w:lineRule="auto" w:line="240"/>
        <w:ind w:firstLine="426" w:left="34" w:right="113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sz w:val="22"/>
          <w:szCs w:val="22"/>
          <w:lang w:val="uk-UA"/>
        </w:rPr>
        <w:tab/>
        <w:t>Ціна тендерної пропозиції вказується з ПДВ (стосується Учасників, які є платниками ПДВ) та підтверджується відповідними розрахунками.</w:t>
      </w:r>
    </w:p>
    <w:p>
      <w:pPr>
        <w:pStyle w:val="14"/>
        <w:widowControl w:val="false"/>
        <w:spacing w:lineRule="auto" w:line="240"/>
        <w:ind w:firstLine="426" w:left="34" w:right="113"/>
        <w:jc w:val="both"/>
        <w:rPr/>
      </w:pPr>
      <w:r>
        <w:rPr>
          <w:rFonts w:eastAsia="Times New Roman" w:cs="Times New Roman"/>
          <w:color w:val="000000"/>
          <w:sz w:val="22"/>
          <w:szCs w:val="22"/>
          <w:lang w:val="uk-UA"/>
        </w:rPr>
        <w:tab/>
      </w:r>
      <w:r>
        <w:rPr>
          <w:color w:val="000000"/>
          <w:sz w:val="22"/>
          <w:szCs w:val="22"/>
        </w:rPr>
        <w:t xml:space="preserve">Учасник визначений переможцем процедури закупівлі у строк, що не перевищує чотири дні </w:t>
      </w:r>
      <w:r>
        <w:rPr>
          <w:color w:val="000000"/>
          <w:sz w:val="22"/>
          <w:szCs w:val="22"/>
          <w:shd w:fill="FFFFFF" w:val="clear"/>
          <w:lang w:eastAsia="en-US"/>
        </w:rPr>
        <w:t>з дати оприлюднення в електронній системі закупівель повідомлення про намір укласти договір про закупівлю</w:t>
      </w:r>
      <w:r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>завантажує до електронної системи розрахунок ціни (у форматі pdf) на суму, з якою переміг в електронному аукціоні, виготовленому у відповідності до вимог цього додатку.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firstLine="567" w:right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jc w:val="both"/>
        <w:rPr>
          <w:rStyle w:val="Style14"/>
          <w:rFonts w:eastAsia="Times New Roman" w:cs="Times New Roman"/>
          <w:b/>
          <w:bCs/>
          <w:iCs/>
          <w:color w:val="C9211E"/>
          <w:kern w:val="2"/>
          <w:position w:val="0"/>
          <w:sz w:val="24"/>
          <w:sz w:val="24"/>
          <w:szCs w:val="24"/>
          <w:u w:val="none"/>
          <w:vertAlign w:val="baseline"/>
          <w:lang w:val="uk-UA" w:eastAsia="ru-RU" w:bidi="ar-SA"/>
        </w:rPr>
      </w:pPr>
      <w:r>
        <w:rPr>
          <w:rFonts w:eastAsia="Times New Roman" w:cs="Times New Roman"/>
          <w:b/>
          <w:bCs/>
          <w:iCs/>
          <w:color w:val="C9211E"/>
          <w:kern w:val="2"/>
          <w:position w:val="0"/>
          <w:sz w:val="24"/>
          <w:sz w:val="24"/>
          <w:szCs w:val="24"/>
          <w:u w:val="none"/>
          <w:vertAlign w:val="baseline"/>
          <w:lang w:val="uk-UA" w:eastAsia="ru-RU" w:bidi="ar-SA"/>
        </w:rPr>
      </w:r>
    </w:p>
    <w:p>
      <w:pPr>
        <w:pStyle w:val="Normal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cs="Times New Roman"/>
          <w:sz w:val="24"/>
          <w:szCs w:val="24"/>
          <w:u w:val="single"/>
          <w:lang w:val="uk-UA"/>
        </w:rPr>
      </w:pPr>
      <w:r>
        <w:rPr>
          <w:rFonts w:cs="Times New Roman"/>
          <w:sz w:val="24"/>
          <w:szCs w:val="24"/>
          <w:u w:val="single"/>
          <w:lang w:val="uk-UA"/>
        </w:rPr>
      </w:r>
    </w:p>
    <w:p>
      <w:pPr>
        <w:pStyle w:val="Normal"/>
        <w:widowControl w:val="false"/>
        <w:spacing w:lineRule="auto" w:line="240" w:before="0" w:after="0"/>
        <w:ind w:firstLine="708" w:right="0"/>
        <w:jc w:val="both"/>
        <w:rPr>
          <w:rStyle w:val="Strong"/>
          <w:rFonts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pacing w:val="-3"/>
          <w:kern w:val="0"/>
          <w:position w:val="0"/>
          <w:sz w:val="23"/>
          <w:sz w:val="23"/>
          <w:szCs w:val="23"/>
          <w:u w:val="none"/>
          <w:shd w:fill="FFFFFF" w:val="clear"/>
          <w:vertAlign w:val="baseli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0"/>
          <w:position w:val="0"/>
          <w:sz w:val="23"/>
          <w:sz w:val="23"/>
          <w:szCs w:val="23"/>
          <w:u w:val="none"/>
          <w:shd w:fill="FFFFFF" w:val="clear"/>
          <w:vertAlign w:val="baseline"/>
          <w:lang w:val="uk-UA" w:eastAsia="en-US" w:bidi="ar-SA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Н</w:t>
      </w:r>
      <w:r>
        <w:rPr>
          <w:sz w:val="22"/>
          <w:szCs w:val="22"/>
          <w:lang w:val="uk-UA"/>
        </w:rPr>
        <w:t>ачальник управління житлово-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комунального господарства</w:t>
        <w:tab/>
        <w:tab/>
        <w:tab/>
        <w:tab/>
        <w:tab/>
        <w:tab/>
        <w:tab/>
        <w:tab/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О.С.Созінов</w:t>
      </w:r>
    </w:p>
    <w:sectPr>
      <w:type w:val="nextPage"/>
      <w:pgSz w:w="11906" w:h="16838"/>
      <w:pgMar w:left="141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paragraph" w:styleId="Heading3">
    <w:name w:val="Heading 3"/>
    <w:basedOn w:val="Normal"/>
    <w:next w:val="BodyText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52583c"/>
    <w:rPr>
      <w:rFonts w:ascii="Times New Roman" w:hAnsi="Times New Roman" w:eastAsia="Times New Roman" w:cs="Times New Roman"/>
      <w:b/>
      <w:bCs/>
      <w:sz w:val="27"/>
      <w:szCs w:val="27"/>
      <w:lang w:val="uk-UA" w:eastAsia="ar-SA"/>
    </w:rPr>
  </w:style>
  <w:style w:type="character" w:styleId="-">
    <w:name w:val="Интернет-ссылка"/>
    <w:qFormat/>
    <w:rsid w:val="0052583c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83c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styleId="2" w:customStyle="1">
    <w:name w:val="Основной шрифт абзаца2"/>
    <w:qFormat/>
    <w:rsid w:val="001125fb"/>
    <w:rPr/>
  </w:style>
  <w:style w:type="character" w:styleId="Style14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38">
    <w:name w:val="Font Style38"/>
    <w:qFormat/>
    <w:rPr>
      <w:rFonts w:ascii="Times New Roman" w:hAnsi="Times New Roman" w:eastAsia="Times New Roman"/>
      <w:sz w:val="24"/>
      <w:szCs w:val="24"/>
    </w:rPr>
  </w:style>
  <w:style w:type="character" w:styleId="TimesNewRoman12">
    <w:name w:val="Стиль (латиница) Times New Roman 12 пт"/>
    <w:qFormat/>
    <w:rPr>
      <w:rFonts w:ascii="Times New Roman" w:hAnsi="Times New Roman" w:eastAsia="Times New Roman"/>
      <w:sz w:val="24"/>
      <w:lang w:val="uk-UA" w:eastAsia="ar-SA"/>
    </w:rPr>
  </w:style>
  <w:style w:type="character" w:styleId="Style16">
    <w:name w:val="Обычный (веб) Знак Знак Знак"/>
    <w:qFormat/>
    <w:rPr>
      <w:sz w:val="24"/>
      <w:lang w:val="uk-UA"/>
    </w:rPr>
  </w:style>
  <w:style w:type="character" w:styleId="Style17">
    <w:name w:val="Текст Знак"/>
    <w:qFormat/>
    <w:rPr>
      <w:rFonts w:eastAsia="Times New Roman"/>
      <w:szCs w:val="22"/>
    </w:rPr>
  </w:style>
  <w:style w:type="character" w:styleId="Style18">
    <w:name w:val="Текст примітки Знак"/>
    <w:qFormat/>
    <w:rPr>
      <w:rFonts w:ascii="Arial" w:hAnsi="Arial" w:eastAsia="Arial"/>
    </w:rPr>
  </w:style>
  <w:style w:type="character" w:styleId="1">
    <w:name w:val="Основной шрифт абзаца1"/>
    <w:qFormat/>
    <w:rPr>
      <w:rFonts w:ascii="Verdana" w:hAnsi="Verdana" w:eastAsia="Verdana"/>
      <w:sz w:val="20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0">
    <w:name w:val="WW8Num10z0"/>
    <w:qFormat/>
    <w:rPr>
      <w:rFonts w:ascii="Times New Roman" w:hAnsi="Times New Roman" w:eastAsia="Times New Roman"/>
    </w:rPr>
  </w:style>
  <w:style w:type="character" w:styleId="WW8Num12z1">
    <w:name w:val="WW8Num12z1"/>
    <w:qFormat/>
    <w:rPr>
      <w:rFonts w:ascii="Courier New" w:hAnsi="Courier New" w:eastAsia="Courier New"/>
      <w:sz w:val="20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0">
    <w:name w:val="WW8Num8z0"/>
    <w:qFormat/>
    <w:rPr>
      <w:rFonts w:ascii="Times New Roman" w:hAnsi="Times New Roman" w:eastAsia="Times New Roman"/>
    </w:rPr>
  </w:style>
  <w:style w:type="character" w:styleId="Rvts0">
    <w:name w:val="rvts0"/>
    <w:qFormat/>
    <w:rPr/>
  </w:style>
  <w:style w:type="character" w:styleId="Rvts46">
    <w:name w:val="rvts46"/>
    <w:qFormat/>
    <w:rPr/>
  </w:style>
  <w:style w:type="character" w:styleId="Rvts37">
    <w:name w:val="rvts37"/>
    <w:qFormat/>
    <w:rPr/>
  </w:style>
  <w:style w:type="character" w:styleId="Rvts11">
    <w:name w:val="rvts11"/>
    <w:qFormat/>
    <w:rPr/>
  </w:style>
  <w:style w:type="character" w:styleId="Apple-converted-space">
    <w:name w:val="apple-converted-space"/>
    <w:qFormat/>
    <w:rPr/>
  </w:style>
  <w:style w:type="character" w:styleId="Style19">
    <w:name w:val="Маркеры списка"/>
    <w:qFormat/>
    <w:rPr>
      <w:rFonts w:ascii="OpenSymbol" w:hAnsi="OpenSymbol" w:eastAsia="OpenSymbol"/>
    </w:rPr>
  </w:style>
  <w:style w:type="character" w:styleId="32">
    <w:name w:val="Основной текст с отступом 3 Знак"/>
    <w:qFormat/>
    <w:rPr>
      <w:rFonts w:ascii="Arial" w:hAnsi="Arial" w:eastAsia="Times New Roman"/>
      <w:sz w:val="16"/>
      <w:szCs w:val="16"/>
    </w:rPr>
  </w:style>
  <w:style w:type="character" w:styleId="21">
    <w:name w:val="Основной текст 2 Знак"/>
    <w:qFormat/>
    <w:rPr>
      <w:rFonts w:ascii="Times New Roman" w:hAnsi="Times New Roman" w:eastAsia="Times New Roman"/>
      <w:sz w:val="24"/>
      <w:szCs w:val="20"/>
      <w:lang w:val="uk-UA"/>
    </w:rPr>
  </w:style>
  <w:style w:type="character" w:styleId="Style20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Style21">
    <w:name w:val="Ниж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HTML">
    <w:name w:val="Стандартный HTML Знак"/>
    <w:qFormat/>
    <w:rPr>
      <w:rFonts w:ascii="Courier New" w:hAnsi="Courier New" w:eastAsia="Courier New"/>
      <w:sz w:val="20"/>
      <w:szCs w:val="20"/>
    </w:rPr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11">
    <w:name w:val="Шрифт абзацу за промовчанням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1">
    <w:name w:val="WW8Num6z1"/>
    <w:qFormat/>
    <w:rPr>
      <w:rFonts w:ascii="Courier New" w:hAnsi="Courier New" w:eastAsia="Courier New"/>
      <w:sz w:val="20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Times New Roman" w:hAnsi="Times New Roman" w:eastAsia="Times New Roman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22">
    <w:name w:val="Шрифт абзацу за промовчанням2"/>
    <w:qFormat/>
    <w:rPr/>
  </w:style>
  <w:style w:type="character" w:styleId="33">
    <w:name w:val="Шрифт абзацу за промовчанням3"/>
    <w:qFormat/>
    <w:rPr/>
  </w:style>
  <w:style w:type="character" w:styleId="4">
    <w:name w:val="Шрифт абзацу за промовчанням4"/>
    <w:qFormat/>
    <w:rPr/>
  </w:style>
  <w:style w:type="character" w:styleId="5">
    <w:name w:val="Шрифт абзацу за промовчанням5"/>
    <w:qFormat/>
    <w:rPr/>
  </w:style>
  <w:style w:type="character" w:styleId="6">
    <w:name w:val="Шрифт абзацу за промовчанням6"/>
    <w:qFormat/>
    <w:rPr/>
  </w:style>
  <w:style w:type="character" w:styleId="Style22">
    <w:name w:val="Шрифт абзацу за промовчанням"/>
    <w:qFormat/>
    <w:rPr/>
  </w:style>
  <w:style w:type="character" w:styleId="41">
    <w:name w:val="Основной шрифт абзаца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2">
    <w:name w:val="WW8Num2z2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0">
    <w:name w:val="WW8Num4z0"/>
    <w:qFormat/>
    <w:rPr>
      <w:rFonts w:ascii="Arial" w:hAnsi="Arial" w:eastAsia="Times New Roman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3">
    <w:name w:val="Посещённая гиперссылка"/>
    <w:qFormat/>
    <w:rPr>
      <w:color w:val="800000"/>
      <w:u w:val="single"/>
      <w:lang w:val="zxx" w:bidi="zxx"/>
    </w:rPr>
  </w:style>
  <w:style w:type="character" w:styleId="WW8Num8z4">
    <w:name w:val="WW8Num8z4"/>
    <w:qFormat/>
    <w:rPr>
      <w:rFonts w:ascii="Courier New" w:hAnsi="Courier New" w:eastAsia="Courier New"/>
    </w:rPr>
  </w:style>
  <w:style w:type="character" w:styleId="WW8Num8z3">
    <w:name w:val="WW8Num8z3"/>
    <w:qFormat/>
    <w:rPr>
      <w:rFonts w:ascii="Symbol" w:hAnsi="Symbol" w:eastAsia="Symbol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7z2">
    <w:name w:val="WW8Num7z2"/>
    <w:qFormat/>
    <w:rPr/>
  </w:style>
  <w:style w:type="character" w:styleId="WW8Num7z0">
    <w:name w:val="WW8Num7z0"/>
    <w:qFormat/>
    <w:rPr>
      <w:sz w:val="24"/>
      <w:lang w:val="uk-UA"/>
    </w:rPr>
  </w:style>
  <w:style w:type="character" w:styleId="WW8Num6z2">
    <w:name w:val="WW8Num6z2"/>
    <w:qFormat/>
    <w:rPr/>
  </w:style>
  <w:style w:type="character" w:styleId="WW8Num6z0">
    <w:name w:val="WW8Num6z0"/>
    <w:qFormat/>
    <w:rPr/>
  </w:style>
  <w:style w:type="character" w:styleId="Style24">
    <w:name w:val="Основний текст Знак"/>
    <w:qFormat/>
    <w:rPr>
      <w:rFonts w:ascii="Arial" w:hAnsi="Arial" w:eastAsia="Times New Roman"/>
      <w:sz w:val="20"/>
      <w:szCs w:val="20"/>
      <w:lang w:val="en-GB" w:eastAsia="en-US"/>
    </w:rPr>
  </w:style>
  <w:style w:type="character" w:styleId="Style25">
    <w:name w:val="Тема примітки Знак"/>
    <w:qFormat/>
    <w:rPr>
      <w:b/>
      <w:sz w:val="20"/>
    </w:rPr>
  </w:style>
  <w:style w:type="character" w:styleId="Annotationreference">
    <w:name w:val="annotation reference"/>
    <w:qFormat/>
    <w:rPr>
      <w:sz w:val="16"/>
    </w:rPr>
  </w:style>
  <w:style w:type="character" w:styleId="Qowt-font2-timesnewroman">
    <w:name w:val="qowt-font2-timesnewroman"/>
    <w:qFormat/>
    <w:rPr>
      <w:rFonts w:eastAsia="Times New Roman"/>
    </w:rPr>
  </w:style>
  <w:style w:type="character" w:styleId="Style26">
    <w:name w:val="Текст у виносці Знак"/>
    <w:qFormat/>
    <w:rPr>
      <w:rFonts w:ascii="Segoe UI" w:hAnsi="Segoe UI" w:eastAsia="Segoe UI"/>
      <w:sz w:val="18"/>
      <w:szCs w:val="18"/>
    </w:rPr>
  </w:style>
  <w:style w:type="character" w:styleId="12">
    <w:name w:val="Неразрешенное упоминание1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WW8Num2z0">
    <w:name w:val="WW8Num2z0"/>
    <w:qFormat/>
    <w:rPr>
      <w:rFonts w:ascii="Wingdings" w:hAnsi="Wingdings" w:cs="Times New Roman"/>
      <w:b/>
      <w:color w:val="000000"/>
      <w:sz w:val="24"/>
      <w:szCs w:val="22"/>
      <w:shd w:fill="FFFFFF" w:val="clear"/>
      <w:lang w:val="uk-UA" w:eastAsia="zh-CN" w:bidi="ar-SA"/>
    </w:rPr>
  </w:style>
  <w:style w:type="character" w:styleId="WW8Num2z3">
    <w:name w:val="WW8Num2z3"/>
    <w:qFormat/>
    <w:rPr>
      <w:rFonts w:ascii="Symbol" w:hAnsi="Symbol" w:cs="Symbol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2583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Arial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52583c"/>
    <w:pPr>
      <w:spacing w:before="280" w:after="280"/>
    </w:pPr>
    <w:rPr/>
  </w:style>
  <w:style w:type="paragraph" w:styleId="Standard" w:customStyle="1">
    <w:name w:val="Standard"/>
    <w:qFormat/>
    <w:rsid w:val="005258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30" w:customStyle="1">
    <w:name w:val="Содержимое таблицы"/>
    <w:basedOn w:val="Normal"/>
    <w:qFormat/>
    <w:rsid w:val="001125fb"/>
    <w:pPr>
      <w:widowControl w:val="false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bidi w:val="0"/>
    </w:pPr>
    <w:rPr>
      <w:rFonts w:ascii="Times New Roman" w:hAnsi="Times New Roman" w:eastAsia="Times New Roman" w:cs="Times New Roman"/>
      <w:color w:val="000000"/>
      <w:szCs w:val="24"/>
      <w:lang w:val="ru-RU" w:bidi="hi-IN"/>
    </w:rPr>
  </w:style>
  <w:style w:type="paragraph" w:styleId="13">
    <w:name w:val="Без интервала1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val="ru-RU" w:eastAsia="zh-CN" w:bidi="hi-IN"/>
    </w:rPr>
  </w:style>
  <w:style w:type="paragraph" w:styleId="14">
    <w:name w:val="Обычный1"/>
    <w:qFormat/>
    <w:pPr>
      <w:widowControl w:val="false"/>
      <w:suppressAutoHyphens w:val="true"/>
      <w:overflowPunct w:val="true"/>
      <w:bidi w:val="0"/>
      <w:snapToGrid w:val="false"/>
      <w:spacing w:lineRule="auto" w:line="300" w:before="0" w:after="0"/>
      <w:ind w:firstLine="52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uk-UA" w:eastAsia="hi-IN" w:bidi="ar-SA"/>
    </w:rPr>
  </w:style>
  <w:style w:type="paragraph" w:styleId="Docdata">
    <w:name w:val="docdata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8"/>
      <w:szCs w:val="28"/>
      <w:lang w:val="ru-RU" w:eastAsia="ar-SA" w:bidi="ar-SA"/>
    </w:rPr>
  </w:style>
  <w:style w:type="paragraph" w:styleId="15">
    <w:name w:val="Звичайний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ru-RU" w:eastAsia="ar-SA" w:bidi="ar-SA"/>
    </w:rPr>
  </w:style>
  <w:style w:type="paragraph" w:styleId="Style32">
    <w:name w:val="Звичайний (веб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Cs w:val="20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16">
    <w:name w:val="Текст примітки1"/>
    <w:basedOn w:val="Normal"/>
    <w:qFormat/>
    <w:pPr>
      <w:widowControl w:val="false"/>
      <w:suppressAutoHyphens w:val="false"/>
    </w:pPr>
    <w:rPr>
      <w:rFonts w:ascii="Arial" w:hAnsi="Arial" w:eastAsia="Times New Roman"/>
      <w:sz w:val="20"/>
      <w:lang w:eastAsia="ar-SA"/>
    </w:rPr>
  </w:style>
  <w:style w:type="paragraph" w:styleId="17">
    <w:name w:val="Заголовок1"/>
    <w:basedOn w:val="Normal"/>
    <w:qFormat/>
    <w:pPr>
      <w:widowControl w:val="false"/>
      <w:spacing w:lineRule="auto" w:line="216" w:before="0" w:after="0"/>
      <w:ind w:hanging="0" w:right="-6"/>
      <w:jc w:val="center"/>
    </w:pPr>
    <w:rPr>
      <w:rFonts w:ascii="Times New Roman" w:hAnsi="Times New Roman" w:eastAsia="Times New Roman"/>
      <w:b/>
      <w:bCs/>
      <w:sz w:val="28"/>
      <w:lang w:eastAsia="ar-SA"/>
    </w:rPr>
  </w:style>
  <w:style w:type="paragraph" w:styleId="18">
    <w:name w:val="Абзац списка1"/>
    <w:basedOn w:val="Normal"/>
    <w:qFormat/>
    <w:pPr>
      <w:spacing w:lineRule="auto" w:line="252"/>
      <w:ind w:hanging="0" w:left="720"/>
    </w:pPr>
    <w:rPr>
      <w:rFonts w:ascii="Calibri" w:hAnsi="Calibri" w:eastAsia="Times New Roman"/>
      <w:lang w:eastAsia="ar-SA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hanging="0" w:left="283"/>
    </w:pPr>
    <w:rPr/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</w:pPr>
    <w:rPr/>
  </w:style>
  <w:style w:type="paragraph" w:styleId="A">
    <w:name w:val="a"/>
    <w:basedOn w:val="Normal"/>
    <w:qFormat/>
    <w:pPr>
      <w:spacing w:before="280" w:after="280"/>
    </w:pPr>
    <w:rPr>
      <w:lang w:val="ru-RU"/>
    </w:rPr>
  </w:style>
  <w:style w:type="paragraph" w:styleId="Style3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Style34">
    <w:name w:val="Обычный (веб)"/>
    <w:basedOn w:val="Normal"/>
    <w:qFormat/>
    <w:pPr>
      <w:suppressAutoHyphens w:val="false"/>
      <w:spacing w:before="280" w:after="280"/>
    </w:pPr>
    <w:rPr>
      <w:lang w:val="ru-RU"/>
    </w:rPr>
  </w:style>
  <w:style w:type="paragraph" w:styleId="311">
    <w:name w:val="Основной текст с отступом 31"/>
    <w:basedOn w:val="Normal"/>
    <w:qFormat/>
    <w:pPr>
      <w:suppressAutoHyphens w:val="false"/>
      <w:spacing w:before="0" w:after="120"/>
      <w:ind w:firstLine="397" w:left="283"/>
      <w:jc w:val="both"/>
    </w:pPr>
    <w:rPr>
      <w:rFonts w:ascii="Arial" w:hAnsi="Arial" w:eastAsia="Arial"/>
      <w:sz w:val="16"/>
      <w:szCs w:val="16"/>
      <w:lang w:val="ru-RU"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312">
    <w:name w:val="Заголовок 3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Liberation Serif"/>
      <w:color w:val="auto"/>
      <w:kern w:val="2"/>
      <w:sz w:val="24"/>
      <w:szCs w:val="24"/>
      <w:lang w:val="ru-RU" w:eastAsia="ar-SA" w:bidi="ar-SA"/>
    </w:rPr>
  </w:style>
  <w:style w:type="paragraph" w:styleId="212">
    <w:name w:val="Основной текст 21"/>
    <w:basedOn w:val="Normal"/>
    <w:qFormat/>
    <w:pPr>
      <w:jc w:val="both"/>
    </w:pPr>
    <w:rPr>
      <w:sz w:val="22"/>
      <w:lang w:val="ru-RU"/>
    </w:rPr>
  </w:style>
  <w:style w:type="paragraph" w:styleId="Style35">
    <w:name w:val="Нормальний текст"/>
    <w:basedOn w:val="Normal"/>
    <w:qFormat/>
    <w:pPr>
      <w:spacing w:before="120" w:after="0"/>
      <w:ind w:firstLine="567"/>
      <w:jc w:val="both"/>
    </w:pPr>
    <w:rPr>
      <w:rFonts w:ascii="Antiqua" w:hAnsi="Antiqua" w:eastAsia="Antiqua"/>
      <w:sz w:val="26"/>
      <w:lang w:eastAsia="ar-SA"/>
    </w:rPr>
  </w:style>
  <w:style w:type="paragraph" w:styleId="HTML1">
    <w:name w:val="Стандартный HTML"/>
    <w:basedOn w:val="Normal"/>
    <w:qFormat/>
    <w:pPr/>
    <w:rPr>
      <w:rFonts w:ascii="Courier New" w:hAnsi="Courier New" w:eastAsia="Courier New"/>
      <w:sz w:val="20"/>
      <w:lang w:val="ru-RU" w:eastAsia="ar-SA"/>
    </w:rPr>
  </w:style>
  <w:style w:type="paragraph" w:styleId="19">
    <w:name w:val="Указатель1"/>
    <w:basedOn w:val="Normal"/>
    <w:qFormat/>
    <w:pPr/>
    <w:rPr>
      <w:rFonts w:ascii="Arial" w:hAnsi="Arial" w:eastAsia="Tahoma"/>
      <w:lang w:eastAsia="ar-SA"/>
    </w:rPr>
  </w:style>
  <w:style w:type="paragraph" w:styleId="23">
    <w:name w:val="Заголовок2"/>
    <w:basedOn w:val="Normal"/>
    <w:qFormat/>
    <w:pPr>
      <w:keepNext w:val="true"/>
      <w:spacing w:before="240" w:after="120"/>
    </w:pPr>
    <w:rPr>
      <w:rFonts w:ascii="Arial" w:hAnsi="Arial" w:eastAsia="Tahoma"/>
      <w:sz w:val="28"/>
      <w:szCs w:val="28"/>
      <w:lang w:eastAsia="ar-SA"/>
    </w:rPr>
  </w:style>
  <w:style w:type="paragraph" w:styleId="24">
    <w:name w:val="Указатель2"/>
    <w:basedOn w:val="Normal"/>
    <w:qFormat/>
    <w:pPr/>
    <w:rPr>
      <w:rFonts w:eastAsia="Mangal"/>
      <w:lang w:eastAsia="ar-SA"/>
    </w:rPr>
  </w:style>
  <w:style w:type="paragraph" w:styleId="110">
    <w:name w:val="Название1"/>
    <w:basedOn w:val="Normal"/>
    <w:qFormat/>
    <w:pPr>
      <w:spacing w:before="120" w:after="120"/>
    </w:pPr>
    <w:rPr>
      <w:rFonts w:ascii="Arial" w:hAnsi="Arial" w:eastAsia="Tahoma"/>
      <w:i/>
      <w:iCs/>
      <w:sz w:val="20"/>
      <w:lang w:eastAsia="ar-SA"/>
    </w:rPr>
  </w:style>
  <w:style w:type="paragraph" w:styleId="34">
    <w:name w:val="Указатель3"/>
    <w:basedOn w:val="Normal"/>
    <w:qFormat/>
    <w:pPr/>
    <w:rPr>
      <w:rFonts w:eastAsia="Mangal"/>
      <w:lang w:eastAsia="ar-SA"/>
    </w:rPr>
  </w:style>
  <w:style w:type="paragraph" w:styleId="Style36">
    <w:name w:val="Название объекта"/>
    <w:basedOn w:val="Normal"/>
    <w:qFormat/>
    <w:pPr>
      <w:spacing w:before="120" w:after="120"/>
    </w:pPr>
    <w:rPr>
      <w:rFonts w:eastAsia="Mangal"/>
      <w:i/>
      <w:iCs/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paragraph" w:styleId="Tj">
    <w:name w:val="tj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Style37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LibreOffice/7.6.6.3$Windows_X86_64 LibreOffice_project/d97b2716a9a4a2ce1391dee1765565ea469b0ae7</Application>
  <AppVersion>15.0000</AppVersion>
  <Pages>2</Pages>
  <Words>555</Words>
  <Characters>3627</Characters>
  <CharactersWithSpaces>4107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dc:description/>
  <dc:language>uk-UA</dc:language>
  <cp:lastModifiedBy/>
  <dcterms:modified xsi:type="dcterms:W3CDTF">2024-07-26T09:47:54Z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